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napToGrid w:val="0"/>
        <w:spacing w:line="480" w:lineRule="exact"/>
        <w:jc w:val="left"/>
        <w:rPr>
          <w:rFonts w:ascii="仿宋_GB2312" w:eastAsia="仿宋_GB2312" w:cs="宋体"/>
          <w:color w:val="333333"/>
          <w:kern w:val="0"/>
          <w:sz w:val="28"/>
          <w:szCs w:val="28"/>
        </w:rPr>
      </w:pPr>
      <w:r>
        <w:rPr>
          <w:rFonts w:hint="eastAsia" w:ascii="仿宋_GB2312" w:eastAsia="仿宋_GB2312" w:cs="宋体"/>
          <w:color w:val="333333"/>
          <w:kern w:val="0"/>
          <w:sz w:val="28"/>
          <w:szCs w:val="28"/>
        </w:rPr>
        <w:t>附件一:</w:t>
      </w:r>
    </w:p>
    <w:p>
      <w:pPr>
        <w:jc w:val="center"/>
        <w:rPr>
          <w:rFonts w:ascii="宋体" w:hAnsi="宋体" w:cs="宋体"/>
          <w:b/>
          <w:bCs/>
          <w:sz w:val="36"/>
          <w:szCs w:val="36"/>
        </w:rPr>
      </w:pPr>
      <w:r>
        <w:rPr>
          <w:rFonts w:hint="eastAsia" w:ascii="宋体" w:hAnsi="宋体" w:cs="宋体"/>
          <w:b/>
          <w:bCs/>
          <w:sz w:val="36"/>
          <w:szCs w:val="36"/>
        </w:rPr>
        <w:t>2019年度江苏省电工科学技术奖评审结果汇总表</w:t>
      </w:r>
    </w:p>
    <w:tbl>
      <w:tblPr>
        <w:tblStyle w:val="4"/>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20"/>
        <w:gridCol w:w="2321"/>
        <w:gridCol w:w="3827"/>
        <w:gridCol w:w="2072"/>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jc w:val="center"/>
        </w:trPr>
        <w:tc>
          <w:tcPr>
            <w:tcW w:w="620" w:type="dxa"/>
            <w:shd w:val="clear" w:color="auto" w:fill="DBF1FE"/>
            <w:vAlign w:val="center"/>
          </w:tcPr>
          <w:p>
            <w:pPr>
              <w:widowControl/>
              <w:jc w:val="center"/>
              <w:textAlignment w:val="center"/>
              <w:rPr>
                <w:rFonts w:ascii="宋体" w:hAnsi="宋体" w:cs="宋体"/>
                <w:b/>
                <w:color w:val="2159B5"/>
                <w:kern w:val="0"/>
                <w:sz w:val="20"/>
                <w:szCs w:val="20"/>
              </w:rPr>
            </w:pPr>
            <w:r>
              <w:rPr>
                <w:rFonts w:hint="eastAsia" w:ascii="宋体" w:hAnsi="宋体" w:cs="宋体"/>
                <w:b/>
                <w:color w:val="2159B5"/>
                <w:kern w:val="0"/>
                <w:sz w:val="20"/>
                <w:szCs w:val="20"/>
              </w:rPr>
              <w:t>序号</w:t>
            </w:r>
          </w:p>
        </w:tc>
        <w:tc>
          <w:tcPr>
            <w:tcW w:w="2321" w:type="dxa"/>
            <w:shd w:val="clear" w:color="auto" w:fill="DBF1FE"/>
            <w:vAlign w:val="center"/>
          </w:tcPr>
          <w:p>
            <w:pPr>
              <w:widowControl/>
              <w:jc w:val="center"/>
              <w:textAlignment w:val="center"/>
              <w:rPr>
                <w:rFonts w:ascii="宋体" w:hAnsi="宋体" w:cs="宋体"/>
                <w:b/>
                <w:color w:val="2159B5"/>
                <w:kern w:val="0"/>
                <w:sz w:val="20"/>
                <w:szCs w:val="20"/>
              </w:rPr>
            </w:pPr>
            <w:r>
              <w:rPr>
                <w:rFonts w:hint="eastAsia" w:ascii="宋体" w:hAnsi="宋体" w:cs="宋体"/>
                <w:b/>
                <w:color w:val="2159B5"/>
                <w:kern w:val="0"/>
                <w:sz w:val="20"/>
                <w:szCs w:val="20"/>
              </w:rPr>
              <w:t>项目名称</w:t>
            </w:r>
          </w:p>
        </w:tc>
        <w:tc>
          <w:tcPr>
            <w:tcW w:w="3827" w:type="dxa"/>
            <w:shd w:val="clear" w:color="auto" w:fill="DBF1FE"/>
            <w:vAlign w:val="center"/>
          </w:tcPr>
          <w:p>
            <w:pPr>
              <w:widowControl/>
              <w:jc w:val="center"/>
              <w:textAlignment w:val="center"/>
              <w:rPr>
                <w:rFonts w:ascii="宋体" w:hAnsi="宋体" w:cs="宋体"/>
                <w:b/>
                <w:color w:val="2159B5"/>
                <w:kern w:val="0"/>
                <w:sz w:val="20"/>
                <w:szCs w:val="20"/>
              </w:rPr>
            </w:pPr>
            <w:r>
              <w:rPr>
                <w:rFonts w:hint="eastAsia" w:ascii="宋体" w:hAnsi="宋体" w:cs="宋体"/>
                <w:b/>
                <w:color w:val="2159B5"/>
                <w:kern w:val="0"/>
                <w:sz w:val="20"/>
                <w:szCs w:val="20"/>
              </w:rPr>
              <w:t>完成单位</w:t>
            </w:r>
          </w:p>
        </w:tc>
        <w:tc>
          <w:tcPr>
            <w:tcW w:w="2072" w:type="dxa"/>
            <w:shd w:val="clear" w:color="auto" w:fill="DBF1FE"/>
            <w:vAlign w:val="center"/>
          </w:tcPr>
          <w:p>
            <w:pPr>
              <w:widowControl/>
              <w:jc w:val="center"/>
              <w:textAlignment w:val="center"/>
              <w:rPr>
                <w:rFonts w:ascii="宋体" w:hAnsi="宋体" w:cs="宋体"/>
                <w:b/>
                <w:color w:val="2159B5"/>
                <w:kern w:val="0"/>
                <w:sz w:val="20"/>
                <w:szCs w:val="20"/>
              </w:rPr>
            </w:pPr>
            <w:r>
              <w:rPr>
                <w:rFonts w:hint="eastAsia" w:ascii="宋体" w:hAnsi="宋体" w:cs="宋体"/>
                <w:b/>
                <w:color w:val="2159B5"/>
                <w:kern w:val="0"/>
                <w:sz w:val="20"/>
                <w:szCs w:val="20"/>
              </w:rPr>
              <w:t>完成人</w:t>
            </w:r>
          </w:p>
        </w:tc>
        <w:tc>
          <w:tcPr>
            <w:tcW w:w="986" w:type="dxa"/>
            <w:shd w:val="clear" w:color="auto" w:fill="DBF1FE"/>
            <w:vAlign w:val="center"/>
          </w:tcPr>
          <w:p>
            <w:pPr>
              <w:widowControl/>
              <w:jc w:val="center"/>
              <w:textAlignment w:val="center"/>
              <w:rPr>
                <w:rFonts w:ascii="宋体" w:hAnsi="宋体" w:cs="宋体"/>
                <w:b/>
                <w:color w:val="2159B5"/>
                <w:kern w:val="0"/>
                <w:sz w:val="20"/>
                <w:szCs w:val="20"/>
              </w:rPr>
            </w:pPr>
            <w:r>
              <w:rPr>
                <w:rFonts w:hint="eastAsia" w:ascii="宋体" w:hAnsi="宋体" w:cs="宋体"/>
                <w:b/>
                <w:color w:val="2159B5"/>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321" w:type="dxa"/>
            <w:shd w:val="clear" w:color="auto" w:fill="auto"/>
            <w:vAlign w:val="center"/>
          </w:tcPr>
          <w:p>
            <w:pPr>
              <w:jc w:val="center"/>
              <w:rPr>
                <w:sz w:val="24"/>
              </w:rPr>
            </w:pPr>
            <w:r>
              <w:rPr>
                <w:rFonts w:hint="eastAsia"/>
              </w:rPr>
              <w:t>多元电网态势感知协同运行关键技术及工程应用</w:t>
            </w:r>
          </w:p>
        </w:tc>
        <w:tc>
          <w:tcPr>
            <w:tcW w:w="3827" w:type="dxa"/>
            <w:shd w:val="clear" w:color="auto" w:fill="auto"/>
            <w:vAlign w:val="center"/>
          </w:tcPr>
          <w:p>
            <w:pPr>
              <w:jc w:val="left"/>
            </w:pPr>
            <w:r>
              <w:rPr>
                <w:rFonts w:hint="eastAsia"/>
              </w:rPr>
              <w:t>国电南瑞科技股份有限公司、东南大学、国网江苏省电力有限公司苏州供电分公司、中国电力科学研究院有限公司、国网江苏省电力有限公司、南瑞集团有限公司</w:t>
            </w:r>
          </w:p>
        </w:tc>
        <w:tc>
          <w:tcPr>
            <w:tcW w:w="2072" w:type="dxa"/>
            <w:shd w:val="clear" w:color="auto" w:fill="auto"/>
            <w:vAlign w:val="center"/>
          </w:tcPr>
          <w:p>
            <w:r>
              <w:rPr>
                <w:rFonts w:hint="eastAsia"/>
              </w:rPr>
              <w:t>闪鑫、陈中、吕洋、庄卫金、胡浔惠、赵奇、徐希、田江、王毅、俞瑜、丁宏恩</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2"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321" w:type="dxa"/>
            <w:shd w:val="clear" w:color="auto" w:fill="auto"/>
            <w:vAlign w:val="center"/>
          </w:tcPr>
          <w:p>
            <w:pPr>
              <w:jc w:val="center"/>
              <w:rPr>
                <w:sz w:val="24"/>
              </w:rPr>
            </w:pPr>
            <w:r>
              <w:rPr>
                <w:rFonts w:hint="eastAsia"/>
              </w:rPr>
              <w:t>近中海域大型海上风电装备设计、运行关键技术及工程应用</w:t>
            </w:r>
          </w:p>
        </w:tc>
        <w:tc>
          <w:tcPr>
            <w:tcW w:w="3827" w:type="dxa"/>
            <w:shd w:val="clear" w:color="auto" w:fill="auto"/>
            <w:vAlign w:val="center"/>
          </w:tcPr>
          <w:p>
            <w:pPr>
              <w:jc w:val="left"/>
            </w:pPr>
            <w:r>
              <w:rPr>
                <w:rFonts w:hint="eastAsia"/>
              </w:rPr>
              <w:t>国网江苏省电力有限公司电力科学研究院、中国电力科学研究院有限公司、中国电建集团华东勘测设计研究院有限公司、远景能源有限公司、国电南瑞南京控制系统有限公司、华北电力大学</w:t>
            </w:r>
          </w:p>
        </w:tc>
        <w:tc>
          <w:tcPr>
            <w:tcW w:w="2072" w:type="dxa"/>
            <w:shd w:val="clear" w:color="auto" w:fill="auto"/>
            <w:vAlign w:val="center"/>
          </w:tcPr>
          <w:p>
            <w:r>
              <w:rPr>
                <w:rFonts w:hint="eastAsia"/>
              </w:rPr>
              <w:t>赵静波、赵生校、解兵、汤海宁、魏林君、朱鑫要、房新雨、徐珂、李莉、廖诗武、吴盛军</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321" w:type="dxa"/>
            <w:shd w:val="clear" w:color="auto" w:fill="auto"/>
            <w:vAlign w:val="center"/>
          </w:tcPr>
          <w:p>
            <w:pPr>
              <w:jc w:val="center"/>
              <w:rPr>
                <w:sz w:val="24"/>
              </w:rPr>
            </w:pPr>
            <w:r>
              <w:rPr>
                <w:rFonts w:hint="eastAsia"/>
              </w:rPr>
              <w:t>江苏电网风电场作为电源的黑启动技术研究</w:t>
            </w:r>
          </w:p>
        </w:tc>
        <w:tc>
          <w:tcPr>
            <w:tcW w:w="3827" w:type="dxa"/>
            <w:shd w:val="clear" w:color="auto" w:fill="auto"/>
            <w:vAlign w:val="center"/>
          </w:tcPr>
          <w:p>
            <w:pPr>
              <w:jc w:val="left"/>
            </w:pPr>
            <w:r>
              <w:rPr>
                <w:rFonts w:hint="eastAsia"/>
              </w:rPr>
              <w:t>江苏方天电力技术有限公司、江苏电力调度控制中心、东南大学</w:t>
            </w:r>
          </w:p>
        </w:tc>
        <w:tc>
          <w:tcPr>
            <w:tcW w:w="2072" w:type="dxa"/>
            <w:shd w:val="clear" w:color="auto" w:fill="auto"/>
            <w:vAlign w:val="center"/>
          </w:tcPr>
          <w:p>
            <w:r>
              <w:rPr>
                <w:rFonts w:hint="eastAsia"/>
              </w:rPr>
              <w:t>李辰龙、范立新、刘亚南、汤奕、雷震、管益斌、梅睿、谭敏刚</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2"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321" w:type="dxa"/>
            <w:shd w:val="clear" w:color="auto" w:fill="auto"/>
            <w:vAlign w:val="center"/>
          </w:tcPr>
          <w:p>
            <w:pPr>
              <w:jc w:val="center"/>
              <w:rPr>
                <w:sz w:val="24"/>
              </w:rPr>
            </w:pPr>
            <w:r>
              <w:rPr>
                <w:rFonts w:hint="eastAsia"/>
              </w:rPr>
              <w:t>开放式自动需求响应关键技术</w:t>
            </w:r>
          </w:p>
        </w:tc>
        <w:tc>
          <w:tcPr>
            <w:tcW w:w="3827" w:type="dxa"/>
            <w:shd w:val="clear" w:color="auto" w:fill="auto"/>
            <w:vAlign w:val="center"/>
          </w:tcPr>
          <w:p>
            <w:pPr>
              <w:jc w:val="left"/>
            </w:pPr>
            <w:r>
              <w:rPr>
                <w:rFonts w:hint="eastAsia"/>
              </w:rPr>
              <w:t>东南大学、国网江苏省电力有限公司电力科学研究院、中国电力科学研究院有限公司、国电南瑞科技股份有限公司、江苏联宏智慧能源股份有限公司</w:t>
            </w:r>
          </w:p>
        </w:tc>
        <w:tc>
          <w:tcPr>
            <w:tcW w:w="2072" w:type="dxa"/>
            <w:shd w:val="clear" w:color="auto" w:fill="auto"/>
            <w:vAlign w:val="center"/>
          </w:tcPr>
          <w:p>
            <w:r>
              <w:rPr>
                <w:rFonts w:hint="eastAsia"/>
              </w:rPr>
              <w:t>高赐威、宋梦、崔高颖、易永仙、杨斌、陈霄、王黎明、周玉、陈宋宋、张卫国、骆蕾、吴伟将</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5"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321" w:type="dxa"/>
            <w:shd w:val="clear" w:color="auto" w:fill="auto"/>
            <w:vAlign w:val="center"/>
          </w:tcPr>
          <w:p>
            <w:pPr>
              <w:jc w:val="center"/>
              <w:rPr>
                <w:sz w:val="24"/>
              </w:rPr>
            </w:pPr>
            <w:r>
              <w:rPr>
                <w:rFonts w:hint="eastAsia"/>
              </w:rPr>
              <w:t>自主式带电作业机器人平台的应用</w:t>
            </w:r>
          </w:p>
        </w:tc>
        <w:tc>
          <w:tcPr>
            <w:tcW w:w="3827" w:type="dxa"/>
            <w:shd w:val="clear" w:color="auto" w:fill="auto"/>
            <w:vAlign w:val="center"/>
          </w:tcPr>
          <w:p>
            <w:pPr>
              <w:jc w:val="left"/>
            </w:pPr>
            <w:r>
              <w:rPr>
                <w:rFonts w:hint="eastAsia"/>
              </w:rPr>
              <w:t>国网江苏省电力有限公司常州供电分公司、南京理工大学、亿嘉和科技股份有限公司</w:t>
            </w:r>
          </w:p>
        </w:tc>
        <w:tc>
          <w:tcPr>
            <w:tcW w:w="2072" w:type="dxa"/>
            <w:shd w:val="clear" w:color="auto" w:fill="auto"/>
            <w:vAlign w:val="center"/>
          </w:tcPr>
          <w:p>
            <w:r>
              <w:rPr>
                <w:rFonts w:hint="eastAsia"/>
              </w:rPr>
              <w:t>纪良、黄清、陆政、张永生、郭健、王峰、陈斌、章立、钱鑫</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特高压直流分层接入工程配套关键技术研究及应用</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国网江苏省电力有限公司电力科学研究院</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徐珂、赵静波、王大江、解兵、朱鑫要、汪成根、张宁宇、陈哲、周前</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适应配煤掺烧的电站锅炉燃烧优化关键技术研究及其应用</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江苏方天电力技术有限公司、东南大学、南京工程学院</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张恩先、岳峻峰、黄亚继、邹磊、管诗骈、梁绍华、王亚欧、蔡亮、肖杰</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电压暂降在线监测关键技术研究及工程示范应用</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国网江苏省电力有限公司电力科学研究院、国网江苏省电力有限公司南京供电分公司</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唐伟佳、费骏韬、葛雪峰、缪惠宇、王徐延、李臻</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有源配电网的分布式FA及其现场验证技术研究与应用</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国网江苏省电力有限公司常州供电分公司、上海金智晟东电力科技有限公司、上海交通大学</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虞坚阳、凌万水、王曙宁、陈辉、倪菁、刘昕宇、翁嘉明、高阳</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主动配电网“源-网-储”电能质量综合治理技术</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南京工程学院、国网江苏省电力有限公司电力科学研究院、南京鼎牌电器有限公司</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刘海涛、葛乐、孟高军、吕干云、张小莲、陈光宇、董亮</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新型光伏并网与无功补偿统一控制系统关键技术研究及应用</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江苏方天电力技术有限公司</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王成亮、王宏华、李军、许焕清、戴锋、蒋一泉、范立新、徐妍、官国飞、杨庆胜、蒋超</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多类型分布式新能源协调运行与主动控制技术及应用</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国网江苏省电力有限公司无锡供电分公司、中国电力科学研究院有限公司南京分院</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陈铭、惠峻、陈黎军、缪立恒、刘志仁、汤铮、薛金花、赵上林、钱洁、陶琼</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主动配电网电能质量复合控制技术</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国网江苏省电力有限公司宿迁供电分公司、东南大学</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王秀茹、吴在军、窦晓波、李江、李江成、赵超、李华、徐静、张科、万新强、赖勇</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微网中虚拟同步机关键技术研究</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国网江苏省电力有限公司电力科学研究院、东南大学</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张宸宇、缪惠宇、史明明、梅飞、葛雪峰、袁晓冬、郑建勇、李娟</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变电站电量平衡感知与主动智能研判方法研究与应用</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江苏方天电力技术有限公司</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熊政、管诗骈、李新家、谢林枫、尹飞、祝永晋、郑飞、邵俊、喻伟</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弹性配电系统灵活分析评价与提升技术研究</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国网江苏省电力有限公司电力科学研究院</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方鑫、杨雄、吴楠、朱卫平、胡昊明、王守相、于璐、韩华春、史明明、孙健、陈雯嘉</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220kV主变低后备保护存在问题分析及解决方案研究 </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国网江苏省电力有限公司宿迁供电分公司</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王秀茹、赖勇、万新强、张科、高燕</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1"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特高压直流控制保护系统现场测试及可视化运维技术与应用</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国网江苏省电力有限公司电力科学研究院、国网湖南省电力有限公司电力科学研究院、南京南瑞继保电气有限公司、江苏凌创电气自动化股份有限公司</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孔祥平、 李鹏庞福滨、 张弛 、吴晋波、王晨 清、陈实 、谭林丰、罗强</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新能源发电数据中心项目</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江苏方天电力技术有限公司</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李剑、尹飞、祝永晋、严佳欣、王黎明、厉文婕</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一种基于双绕组永磁容错电机驱动系统的强鲁棒性开路故障诊断策略</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南京市产品质量监督检验院、南京理工大学、南京众科汇电气科技有限公司</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周骏贵、马灿、蒋雪峰、夏玲芳、李洁、刘微、周兴伟</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火电机组一类辅机变频器低电压穿越技术研究</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江苏方天电力技术有限公司、东南大学</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顾文、黄学良、袁超、刘亚南、唐一铭、莫菲、梅睿</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面向微应用的企业自动化运维平台研究与实践</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国网江苏省电力有限公司信息通信分公司、江苏电力信息技术有限公司、江苏方天电力技术有限公司</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宋浒、赵俊峰、夏飞、张震、杜元翰、程伟华、王松云</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电力设备远程振动监测诊断技术与系列装备研究应用</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江苏方天电力技术有限公司</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刘晓锋、卢修连、姚永灵、马运翔、卢承斌、汪江、彭辉、何小锋、何利鹏、张泰岩</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500 千伏UPFC 设计及施工关键技术研究</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国网江苏省电力工程咨询有限公司、华北电力大学、国网江苏省电力有限公司经济技术研究院</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谢洪平、陈勇、柏彬、刘骁繁、刘寅莹、杜长青、刘亮、刘海、吴巍</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户外交流绝缘封闭型喷射式熔断器研制及应用</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国网江苏省电力公司淮安供电分公司、洪泽洪能电力实业开发有限公司、南京紫峰电力设备有限公司</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黄勇、杨彪、杨爱华、唐志东、赵演、戴欣、沙旭、郑海山</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23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特高压直流换流站同步调相机运维技术研究</w:t>
            </w:r>
          </w:p>
        </w:tc>
        <w:tc>
          <w:tcPr>
            <w:tcW w:w="382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国网江苏省电力有限公司检修分公司、南京理工大学</w:t>
            </w:r>
          </w:p>
        </w:tc>
        <w:tc>
          <w:tcPr>
            <w:tcW w:w="2072"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汤晓峥、王谱宇、孙金磊、陈轩、刘一丹、赵学华</w:t>
            </w:r>
          </w:p>
        </w:tc>
        <w:tc>
          <w:tcPr>
            <w:tcW w:w="986" w:type="dxa"/>
            <w:shd w:val="clear" w:color="auto" w:fill="auto"/>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叁等奖</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A0050FD"/>
    <w:rsid w:val="0011409F"/>
    <w:rsid w:val="00131904"/>
    <w:rsid w:val="00232747"/>
    <w:rsid w:val="00292AF4"/>
    <w:rsid w:val="00310944"/>
    <w:rsid w:val="00317167"/>
    <w:rsid w:val="00335725"/>
    <w:rsid w:val="0040031F"/>
    <w:rsid w:val="00593B96"/>
    <w:rsid w:val="00645652"/>
    <w:rsid w:val="006A1542"/>
    <w:rsid w:val="006E6F67"/>
    <w:rsid w:val="00703429"/>
    <w:rsid w:val="007726DB"/>
    <w:rsid w:val="007A62AF"/>
    <w:rsid w:val="007C6E2B"/>
    <w:rsid w:val="00852C9B"/>
    <w:rsid w:val="008B2B3E"/>
    <w:rsid w:val="009918F9"/>
    <w:rsid w:val="009A15A2"/>
    <w:rsid w:val="00A05084"/>
    <w:rsid w:val="00A21E64"/>
    <w:rsid w:val="00B645D7"/>
    <w:rsid w:val="00C5300A"/>
    <w:rsid w:val="00D4507F"/>
    <w:rsid w:val="00D77EC5"/>
    <w:rsid w:val="00E2030D"/>
    <w:rsid w:val="00E3237C"/>
    <w:rsid w:val="00E60944"/>
    <w:rsid w:val="00EA0B8D"/>
    <w:rsid w:val="00F10A76"/>
    <w:rsid w:val="0A0050FD"/>
    <w:rsid w:val="144C30DB"/>
    <w:rsid w:val="1E045C05"/>
    <w:rsid w:val="27255324"/>
    <w:rsid w:val="389941DD"/>
    <w:rsid w:val="49A85EBB"/>
    <w:rsid w:val="508328ED"/>
    <w:rsid w:val="57567342"/>
    <w:rsid w:val="62F53DB3"/>
    <w:rsid w:val="63046CA6"/>
    <w:rsid w:val="6D160E43"/>
    <w:rsid w:val="72DB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376</Words>
  <Characters>2147</Characters>
  <Lines>17</Lines>
  <Paragraphs>5</Paragraphs>
  <TotalTime>12</TotalTime>
  <ScaleCrop>false</ScaleCrop>
  <LinksUpToDate>false</LinksUpToDate>
  <CharactersWithSpaces>2518</CharactersWithSpaces>
  <Application>WPS Office_11.1.0.8984_F1E327BC-269C-435d-A152-05C5408002CA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2019-12-23T01:38:00Z</dcterms:created>
  <dc:creator>Administrator</dc:creator>
  <cp:lastModifiedBy>东南大学</cp:lastModifiedBy>
  <dcterms:modified xsi:type="dcterms:W3CDTF">2020-09-22T08:34:07Z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2052-11.1.0.8984</vt:lpwstr>
  </property>
</Properties>
</file>