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widowControl/>
        <w:snapToGrid w:val="0"/>
        <w:spacing w:line="480" w:lineRule="exact"/>
        <w:jc w:val="left"/>
        <w:rPr>
          <w:rFonts w:hint="eastAsia" w:ascii="仿宋_GB2312" w:eastAsia="仿宋_GB2312" w:cs="宋体"/>
          <w:color w:val="333333"/>
          <w:kern w:val="0"/>
          <w:sz w:val="28"/>
          <w:szCs w:val="28"/>
        </w:rPr>
      </w:pPr>
      <w:r>
        <w:rPr>
          <w:rFonts w:hint="eastAsia" w:ascii="仿宋_GB2312" w:eastAsia="仿宋_GB2312" w:cs="宋体"/>
          <w:color w:val="333333"/>
          <w:kern w:val="0"/>
          <w:sz w:val="28"/>
          <w:szCs w:val="28"/>
        </w:rPr>
        <w:t>附件一:</w:t>
      </w:r>
    </w:p>
    <w:p>
      <w:pPr>
        <w:jc w:val="center"/>
        <w:rPr>
          <w:rFonts w:hint="eastAsia" w:ascii="宋体" w:hAnsi="宋体" w:cs="宋体"/>
          <w:b/>
          <w:bCs/>
          <w:sz w:val="36"/>
          <w:szCs w:val="36"/>
        </w:rPr>
      </w:pPr>
      <w:r>
        <w:rPr>
          <w:rFonts w:hint="eastAsia" w:ascii="宋体" w:hAnsi="宋体" w:cs="宋体"/>
          <w:b/>
          <w:bCs/>
          <w:sz w:val="36"/>
          <w:szCs w:val="36"/>
        </w:rPr>
        <w:t>2015年度</w:t>
      </w:r>
      <w:r>
        <w:rPr>
          <w:rFonts w:hint="eastAsia" w:ascii="宋体" w:hAnsi="宋体" w:cs="宋体"/>
          <w:b/>
          <w:bCs/>
          <w:sz w:val="36"/>
          <w:szCs w:val="36"/>
          <w:lang w:eastAsia="zh-CN"/>
        </w:rPr>
        <w:t>江苏省电工科学技术奖</w:t>
      </w:r>
      <w:r>
        <w:rPr>
          <w:rFonts w:hint="eastAsia" w:ascii="宋体" w:hAnsi="宋体" w:cs="宋体"/>
          <w:b/>
          <w:bCs/>
          <w:sz w:val="36"/>
          <w:szCs w:val="36"/>
        </w:rPr>
        <w:t>评审结果汇总表</w:t>
      </w:r>
    </w:p>
    <w:tbl>
      <w:tblPr>
        <w:tblStyle w:val="4"/>
        <w:tblW w:w="92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10"/>
        <w:gridCol w:w="2890"/>
        <w:gridCol w:w="915"/>
        <w:gridCol w:w="352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DBF1FE"/>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cs="宋体"/>
                <w:b/>
                <w:color w:val="2159B5"/>
                <w:kern w:val="0"/>
                <w:sz w:val="20"/>
                <w:szCs w:val="20"/>
                <w:lang w:bidi="ar"/>
              </w:rPr>
              <w:t>序号</w:t>
            </w:r>
          </w:p>
        </w:tc>
        <w:tc>
          <w:tcPr>
            <w:tcW w:w="2890" w:type="dxa"/>
            <w:shd w:val="clear" w:color="auto" w:fill="DBF1FE"/>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cs="宋体"/>
                <w:b/>
                <w:color w:val="2159B5"/>
                <w:kern w:val="0"/>
                <w:sz w:val="20"/>
                <w:szCs w:val="20"/>
                <w:lang w:bidi="ar"/>
              </w:rPr>
              <w:t>项目名称</w:t>
            </w:r>
          </w:p>
        </w:tc>
        <w:tc>
          <w:tcPr>
            <w:tcW w:w="915" w:type="dxa"/>
            <w:shd w:val="clear" w:color="auto" w:fill="DBF1FE"/>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cs="宋体"/>
                <w:b/>
                <w:color w:val="2159B5"/>
                <w:kern w:val="0"/>
                <w:sz w:val="20"/>
                <w:szCs w:val="20"/>
                <w:lang w:bidi="ar"/>
              </w:rPr>
              <w:t>完成人</w:t>
            </w:r>
          </w:p>
        </w:tc>
        <w:tc>
          <w:tcPr>
            <w:tcW w:w="3525" w:type="dxa"/>
            <w:shd w:val="clear" w:color="auto" w:fill="DBF1FE"/>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cs="宋体"/>
                <w:b/>
                <w:color w:val="2159B5"/>
                <w:kern w:val="0"/>
                <w:sz w:val="20"/>
                <w:szCs w:val="20"/>
                <w:lang w:bidi="ar"/>
              </w:rPr>
              <w:t>完成单位</w:t>
            </w:r>
          </w:p>
        </w:tc>
        <w:tc>
          <w:tcPr>
            <w:tcW w:w="1167" w:type="dxa"/>
            <w:shd w:val="clear" w:color="auto" w:fill="DBF1FE"/>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cs="宋体"/>
                <w:b/>
                <w:color w:val="2159B5"/>
                <w:kern w:val="0"/>
                <w:sz w:val="20"/>
                <w:szCs w:val="20"/>
                <w:lang w:bidi="ar"/>
              </w:rPr>
              <w:t>建议等级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2890" w:type="dxa"/>
            <w:shd w:val="clear" w:color="auto" w:fill="FFFFFF" w:themeFill="background1"/>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特高压受端地区电网智能调控关键技术研究及应用</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韩冰等</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江苏省电力公司苏州供电公司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江苏省电力公司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国电南瑞科技股份有限公司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中国电力科学研究院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苏州正普电力科技有限公司</w:t>
            </w:r>
          </w:p>
        </w:tc>
        <w:tc>
          <w:tcPr>
            <w:tcW w:w="1167"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2890" w:type="dxa"/>
            <w:shd w:val="clear" w:color="auto" w:fill="FFFFFF" w:themeFill="background1"/>
            <w:vAlign w:val="top"/>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玄武岩纤维在输电塔基础中应用</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安增军等 </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江苏省电力公司电力经济技术研究院</w:t>
            </w:r>
          </w:p>
        </w:tc>
        <w:tc>
          <w:tcPr>
            <w:tcW w:w="1167"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2890"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多功能备自投装置的研制及应用</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汤大海等</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江苏省电力公司镇江供电公司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江苏大学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南京南瑞继保电气有限公司</w:t>
            </w:r>
          </w:p>
        </w:tc>
        <w:tc>
          <w:tcPr>
            <w:tcW w:w="1167"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35"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2890"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紧凑型GIS互感器研制及现场一体化检定技术研究</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徐敏锐等</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江苏省电力公司电力科学研究院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江苏思源赫兹互感器有限公司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中国电力科学研究院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东南大学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江苏省电力公司检修分公司</w:t>
            </w:r>
          </w:p>
        </w:tc>
        <w:tc>
          <w:tcPr>
            <w:tcW w:w="1167"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2890"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多随机波动风电场汇流接入电网的研究</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杨晓梅等</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江苏省电力公司电力经济技术研究院</w:t>
            </w:r>
          </w:p>
        </w:tc>
        <w:tc>
          <w:tcPr>
            <w:tcW w:w="1167"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2890"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大容量低电压大电流动热稳定试验系统</w:t>
            </w:r>
          </w:p>
        </w:tc>
        <w:tc>
          <w:tcPr>
            <w:tcW w:w="91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胡醇等</w:t>
            </w:r>
          </w:p>
        </w:tc>
        <w:tc>
          <w:tcPr>
            <w:tcW w:w="3525" w:type="dxa"/>
            <w:shd w:val="clear" w:color="auto" w:fill="FFFFFF" w:themeFill="background1"/>
            <w:textDirection w:val="lrTb"/>
            <w:vAlign w:val="center"/>
          </w:tcPr>
          <w:p>
            <w:pPr>
              <w:widowControl/>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苏州电器科学研究院股份有限公司</w:t>
            </w:r>
          </w:p>
        </w:tc>
        <w:tc>
          <w:tcPr>
            <w:tcW w:w="1167" w:type="dxa"/>
            <w:shd w:val="clear" w:color="auto" w:fill="FFFFFF" w:themeFill="background1"/>
            <w:textDirection w:val="lrTb"/>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城区GIS变电站综合接地系统安全性评估及相关问题的研究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钱锋等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江苏省电力公司扬州供电公司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江苏方天电力技术有限公司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分布式储能提高城市负荷中心供电质量的关键技术研究及应用示范</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吕振华等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江苏省电力公司电力科学研究院</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计量及用电信息采集终端可靠运行关键技术及应用</w:t>
            </w:r>
            <w:bookmarkStart w:id="0" w:name="_GoBack"/>
            <w:bookmarkEnd w:id="0"/>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徐晴等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南京新联电子股份有限公司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智能变电站SCD文件图形化展示技术研究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娄悦等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中国能源建设集团江苏省电力设计院有限公司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江苏省电力公司电力科学研究院</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大型省级电网企业信息通信运维资源模型的研究与应用</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张明明等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江苏省电力公司信息通信分公司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江苏东大金智信息系统有限公司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电容器和电抗器过热故障及对策的研究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曹良等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江苏省电力公司常州供电公司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国电南京自动化股份有限公司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南京控安电力科技开发有限公司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高压电缆终端局部放电在线监测系统研究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沈培锋等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江苏省电力公司南京供电公司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北京兴迪仪器有限责任公司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光学电流互感器运行误差特性研究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陈铭明等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无锡供电公司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智能变电站无同步采样值组网技术研究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李澄等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江苏方天电力技术有限公司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江苏省电力公司苏州供电公司</w:t>
            </w:r>
          </w:p>
        </w:tc>
        <w:tc>
          <w:tcPr>
            <w:tcW w:w="1167" w:type="dxa"/>
            <w:shd w:val="clear" w:color="auto" w:fill="FFFFFF" w:themeFill="background1"/>
            <w:textDirection w:val="lrTb"/>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双闭环控制的电机节电及软启动综合保护控制器</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张金波等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河海大学常州校区</w:t>
            </w:r>
          </w:p>
        </w:tc>
        <w:tc>
          <w:tcPr>
            <w:tcW w:w="1167" w:type="dxa"/>
            <w:shd w:val="clear" w:color="auto" w:fill="FFFFFF" w:themeFill="background1"/>
            <w:vAlign w:val="center"/>
          </w:tcPr>
          <w:p>
            <w:pPr>
              <w:widowControl/>
              <w:jc w:val="center"/>
              <w:textAlignment w:val="center"/>
              <w:rPr>
                <w:rFonts w:hint="eastAsia" w:ascii="宋体" w:hAnsi="宋体" w:eastAsia="宋体" w:cs="宋体"/>
                <w:b/>
                <w:color w:val="2159B5"/>
                <w:kern w:val="0"/>
                <w:sz w:val="20"/>
                <w:szCs w:val="20"/>
                <w:lang w:eastAsia="zh-CN"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主动配电网实践路径、评价体系、规划方法关键技术研究</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孙建龙等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江苏省电力公司电力经济技术研究院</w:t>
            </w:r>
          </w:p>
        </w:tc>
        <w:tc>
          <w:tcPr>
            <w:tcW w:w="1167" w:type="dxa"/>
            <w:shd w:val="clear" w:color="auto" w:fill="FFFFFF" w:themeFill="background1"/>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shd w:val="clear" w:color="auto" w:fill="FFFFFF" w:themeFill="background1"/>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2890" w:type="dxa"/>
            <w:shd w:val="clear" w:color="auto" w:fill="FFFFFF" w:themeFill="background1"/>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城区220kV多回路大容量小根开新型钢管杆的优化设计与示范应用</w:t>
            </w:r>
          </w:p>
        </w:tc>
        <w:tc>
          <w:tcPr>
            <w:tcW w:w="91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陈庭记等</w:t>
            </w:r>
          </w:p>
        </w:tc>
        <w:tc>
          <w:tcPr>
            <w:tcW w:w="3525" w:type="dxa"/>
            <w:shd w:val="clear" w:color="auto" w:fill="FFFFFF" w:themeFill="background1"/>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江苏省电力公司南京供电公司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中国能源建设集团江苏省电力设计院有限公司</w:t>
            </w:r>
          </w:p>
        </w:tc>
        <w:tc>
          <w:tcPr>
            <w:tcW w:w="1167" w:type="dxa"/>
            <w:shd w:val="clear" w:color="auto" w:fill="FFFFFF" w:themeFill="background1"/>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fldChar w:fldCharType="begin"/>
            </w:r>
            <w:r>
              <w:rPr>
                <w:rFonts w:hint="eastAsia" w:ascii="宋体" w:hAnsi="宋体" w:eastAsia="宋体" w:cs="宋体"/>
                <w:i w:val="0"/>
                <w:color w:val="000000"/>
                <w:kern w:val="0"/>
                <w:sz w:val="22"/>
                <w:szCs w:val="22"/>
                <w:u w:val="none"/>
                <w:lang w:val="en-US" w:eastAsia="zh-CN" w:bidi="ar"/>
              </w:rPr>
              <w:instrText xml:space="preserve"> HYPERLINK "mailto:可视化三菱e-f@ctory自动化生产线" </w:instrText>
            </w:r>
            <w:r>
              <w:rPr>
                <w:rFonts w:hint="eastAsia" w:ascii="宋体" w:hAnsi="宋体" w:eastAsia="宋体" w:cs="宋体"/>
                <w:i w:val="0"/>
                <w:color w:val="000000"/>
                <w:kern w:val="0"/>
                <w:sz w:val="22"/>
                <w:szCs w:val="22"/>
                <w:u w:val="none"/>
                <w:lang w:val="en-US" w:eastAsia="zh-CN" w:bidi="ar"/>
              </w:rPr>
              <w:fldChar w:fldCharType="separate"/>
            </w:r>
            <w:r>
              <w:rPr>
                <w:rFonts w:hint="eastAsia" w:ascii="宋体" w:hAnsi="宋体" w:eastAsia="宋体" w:cs="宋体"/>
                <w:i w:val="0"/>
                <w:color w:val="000000"/>
                <w:kern w:val="0"/>
                <w:sz w:val="22"/>
                <w:szCs w:val="22"/>
                <w:u w:val="none"/>
                <w:lang w:val="en-US" w:eastAsia="zh-CN" w:bidi="ar"/>
              </w:rPr>
              <w:t>可视化三菱e-f@ctory自动化生产线</w:t>
            </w:r>
            <w:r>
              <w:rPr>
                <w:rFonts w:hint="eastAsia" w:ascii="宋体" w:hAnsi="宋体" w:eastAsia="宋体" w:cs="宋体"/>
                <w:i w:val="0"/>
                <w:color w:val="000000"/>
                <w:kern w:val="0"/>
                <w:sz w:val="22"/>
                <w:szCs w:val="22"/>
                <w:u w:val="none"/>
                <w:lang w:val="en-US" w:eastAsia="zh-CN" w:bidi="ar"/>
              </w:rPr>
              <w:fldChar w:fldCharType="end"/>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郁汉琪等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南京工程学院</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主动磁悬浮电主轴的产业化应用</w:t>
            </w:r>
          </w:p>
        </w:tc>
        <w:tc>
          <w:tcPr>
            <w:tcW w:w="915" w:type="dxa"/>
            <w:textDirection w:val="lrTb"/>
            <w:vAlign w:val="center"/>
          </w:tcPr>
          <w:p>
            <w:pPr>
              <w:keepNext w:val="0"/>
              <w:keepLines w:val="0"/>
              <w:widowControl/>
              <w:suppressLineNumbers w:val="0"/>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张建生等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常州工学院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常州亚美柯宝马电机有限公司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基于云平台的船舶机舱智能报警分析系统</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刘维亭等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江苏科技大学电子信息学院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江苏舾普泰克自动化科技有限公司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厂站用全绝缘气动清扫器的研制</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陈昊等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江苏省电力公司检修分公司南京运维分部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淮安市宇阳电力科技有限公司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江苏省电力公司电力科学研究院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南京工程学院</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基于业务流程的SG-ERP自动化测试技术研究及应用</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方泉等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江苏省电力公司信息通信分公司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江苏电力信息技术有限公司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江苏电网规划方案运营效率评估方法研究与系统研发</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黄俊辉等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江苏省电力公司电力经济技术研究院</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基于二次系统评估和物理网络模型的新一代智能变电站健康和预警系统研究</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王庭华等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江苏省电力公司电力经济技术研究院</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备用电源快速切换装置校验技术及标准研究</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王奕等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江苏省电力公司常州供电公司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27</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252kV智能型高压组合电器（GIS、HGIS）</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王金良等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江苏精科智能电气股份有限公司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宿迁学院</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28</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江苏《配电网规划设计实施细则（试行）》的研究与应用</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顾明宏等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江苏省电力公司扬州供电公司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29</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变电站设备异响在线监测与定位系统的研究及应用</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汤向华等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江苏省电力公司南通供电公司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高性能电气化铁道专用气体绝缘开关设备的研发及产业化</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张立臣等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常州工学院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常州太平洋电力设备（集团）有限公司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31</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中 文 Onpower 3000智能配电自动化系统</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徐文等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南京新联电力自动化有限公司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南京新联电子股份有限公司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32</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低压断路器高性能附件（元件）研发与产业化</w:t>
            </w:r>
          </w:p>
        </w:tc>
        <w:tc>
          <w:tcPr>
            <w:tcW w:w="915" w:type="dxa"/>
            <w:textDirection w:val="lrTb"/>
            <w:vAlign w:val="center"/>
          </w:tcPr>
          <w:p>
            <w:pPr>
              <w:keepNext w:val="0"/>
              <w:keepLines w:val="0"/>
              <w:widowControl/>
              <w:suppressLineNumbers w:val="0"/>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吴志祥等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常州工学院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江苏国星电器有限公司</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710" w:type="dxa"/>
            <w:vAlign w:val="center"/>
          </w:tcPr>
          <w:p>
            <w:pPr>
              <w:widowControl/>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33</w:t>
            </w:r>
          </w:p>
        </w:tc>
        <w:tc>
          <w:tcPr>
            <w:tcW w:w="2890" w:type="dxa"/>
            <w:textDirection w:val="lrTb"/>
            <w:vAlign w:val="center"/>
          </w:tcPr>
          <w:p>
            <w:pPr>
              <w:keepNext w:val="0"/>
              <w:keepLines w:val="0"/>
              <w:widowControl/>
              <w:suppressLineNumbers w:val="0"/>
              <w:jc w:val="left"/>
              <w:textAlignment w:val="center"/>
              <w:rPr>
                <w:rFonts w:hint="eastAsia" w:ascii="仿宋_GB2312" w:eastAsia="仿宋_GB2312" w:cs="宋体"/>
                <w:color w:val="333333"/>
                <w:kern w:val="0"/>
                <w:sz w:val="24"/>
                <w:szCs w:val="24"/>
              </w:rPr>
            </w:pPr>
            <w:r>
              <w:rPr>
                <w:rFonts w:hint="eastAsia" w:ascii="宋体" w:hAnsi="宋体" w:eastAsia="宋体" w:cs="宋体"/>
                <w:i w:val="0"/>
                <w:color w:val="000000"/>
                <w:kern w:val="0"/>
                <w:sz w:val="22"/>
                <w:szCs w:val="22"/>
                <w:u w:val="none"/>
                <w:lang w:val="en-US" w:eastAsia="zh-CN" w:bidi="ar"/>
              </w:rPr>
              <w:t>电气设备电磁兼容关键技术</w:t>
            </w:r>
          </w:p>
        </w:tc>
        <w:tc>
          <w:tcPr>
            <w:tcW w:w="91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陈昊等</w:t>
            </w:r>
          </w:p>
        </w:tc>
        <w:tc>
          <w:tcPr>
            <w:tcW w:w="3525" w:type="dxa"/>
            <w:textDirection w:val="lrTb"/>
            <w:vAlign w:val="center"/>
          </w:tcPr>
          <w:p>
            <w:pPr>
              <w:keepNext w:val="0"/>
              <w:keepLines w:val="0"/>
              <w:widowControl/>
              <w:suppressLineNumbers w:val="0"/>
              <w:jc w:val="left"/>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中国矿业大学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南京师范大学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南京邮电大学</w:t>
            </w:r>
          </w:p>
        </w:tc>
        <w:tc>
          <w:tcPr>
            <w:tcW w:w="1167" w:type="dxa"/>
            <w:vAlign w:val="center"/>
          </w:tcPr>
          <w:p>
            <w:pPr>
              <w:widowControl/>
              <w:jc w:val="center"/>
              <w:textAlignment w:val="center"/>
              <w:rPr>
                <w:rFonts w:hint="eastAsia" w:ascii="宋体" w:hAnsi="宋体" w:cs="宋体"/>
                <w:b/>
                <w:color w:val="2159B5"/>
                <w:kern w:val="0"/>
                <w:sz w:val="20"/>
                <w:szCs w:val="20"/>
                <w:lang w:bidi="ar"/>
              </w:rPr>
            </w:pPr>
            <w:r>
              <w:rPr>
                <w:rFonts w:hint="eastAsia" w:ascii="宋体" w:hAnsi="宋体" w:eastAsia="宋体" w:cs="宋体"/>
                <w:i w:val="0"/>
                <w:color w:val="000000"/>
                <w:kern w:val="0"/>
                <w:sz w:val="22"/>
                <w:szCs w:val="22"/>
                <w:u w:val="none"/>
                <w:lang w:val="en-US" w:eastAsia="zh-CN" w:bidi="ar"/>
              </w:rPr>
              <w:t>叁等奖</w:t>
            </w:r>
          </w:p>
        </w:tc>
      </w:tr>
    </w:tbl>
    <w:p>
      <w:pPr/>
    </w:p>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050FD"/>
    <w:rsid w:val="0A0050FD"/>
    <w:rsid w:val="144C30DB"/>
    <w:rsid w:val="49A85E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2016-01-18T01:55:00Z</dcterms:created>
  <dc:creator>Administrator</dc:creator>
  <cp:lastModifiedBy>Administrator</cp:lastModifiedBy>
  <dcterms:modified xsi:type="dcterms:W3CDTF">2016-01-18T02:27:20Z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