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06E7A" w14:textId="77777777" w:rsidR="00344D3D" w:rsidRPr="00100DD4" w:rsidRDefault="00344D3D" w:rsidP="00344D3D">
      <w:pPr>
        <w:spacing w:line="560" w:lineRule="exact"/>
        <w:ind w:firstLine="0"/>
        <w:jc w:val="left"/>
        <w:rPr>
          <w:rFonts w:eastAsia="方正黑体_GBK"/>
          <w:szCs w:val="32"/>
        </w:rPr>
      </w:pPr>
      <w:r w:rsidRPr="00100DD4">
        <w:rPr>
          <w:rFonts w:eastAsia="方正黑体_GBK" w:hAnsi="方正黑体_GBK"/>
          <w:szCs w:val="32"/>
        </w:rPr>
        <w:t>附件</w:t>
      </w:r>
      <w:r w:rsidRPr="00100DD4">
        <w:rPr>
          <w:rFonts w:eastAsia="方正黑体_GBK"/>
          <w:szCs w:val="32"/>
        </w:rPr>
        <w:t>4</w:t>
      </w:r>
    </w:p>
    <w:p w14:paraId="4D0B026E" w14:textId="77777777" w:rsidR="00344D3D" w:rsidRDefault="00344D3D" w:rsidP="00344D3D">
      <w:pPr>
        <w:spacing w:beforeLines="50" w:before="156" w:afterLines="50" w:after="156" w:line="560" w:lineRule="exact"/>
        <w:ind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江苏省地方标准外文版建议书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14"/>
        <w:gridCol w:w="2104"/>
        <w:gridCol w:w="1223"/>
        <w:gridCol w:w="2055"/>
      </w:tblGrid>
      <w:tr w:rsidR="00344D3D" w14:paraId="6C878E4F" w14:textId="77777777" w:rsidTr="0024671D">
        <w:trPr>
          <w:trHeight w:val="52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91412" w14:textId="77777777" w:rsidR="00344D3D" w:rsidRDefault="00344D3D" w:rsidP="0024671D">
            <w:pPr>
              <w:spacing w:line="400" w:lineRule="exact"/>
              <w:ind w:left="440" w:hangingChars="200" w:hanging="440"/>
              <w:jc w:val="center"/>
              <w:rPr>
                <w:rFonts w:ascii="方正黑体_GBK" w:eastAsia="方正黑体_GBK" w:hAnsi="方正黑体_GBK" w:cs="方正黑体_GBK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sz w:val="22"/>
                <w:szCs w:val="22"/>
              </w:rPr>
              <w:t>拟翻译地方标准名称</w:t>
            </w:r>
          </w:p>
          <w:p w14:paraId="6C33D5C5" w14:textId="77777777" w:rsidR="00344D3D" w:rsidRDefault="00344D3D" w:rsidP="0024671D">
            <w:pPr>
              <w:spacing w:line="400" w:lineRule="exact"/>
              <w:ind w:left="440" w:hangingChars="200" w:hanging="44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2"/>
                <w:szCs w:val="22"/>
              </w:rPr>
              <w:t>（中文、外文）</w:t>
            </w:r>
          </w:p>
        </w:tc>
        <w:tc>
          <w:tcPr>
            <w:tcW w:w="6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CE19A" w14:textId="77777777" w:rsidR="00344D3D" w:rsidRDefault="00344D3D" w:rsidP="0024671D">
            <w:pPr>
              <w:rPr>
                <w:rFonts w:ascii="仿宋_GB2312" w:eastAsia="仿宋_GB2312"/>
                <w:szCs w:val="21"/>
              </w:rPr>
            </w:pPr>
          </w:p>
        </w:tc>
      </w:tr>
      <w:tr w:rsidR="00344D3D" w14:paraId="40B779EB" w14:textId="77777777" w:rsidTr="0024671D">
        <w:trPr>
          <w:trHeight w:val="894"/>
        </w:trPr>
        <w:tc>
          <w:tcPr>
            <w:tcW w:w="5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63D6" w14:textId="77777777" w:rsidR="00344D3D" w:rsidRDefault="00344D3D" w:rsidP="0024671D">
            <w:pPr>
              <w:spacing w:line="440" w:lineRule="exact"/>
              <w:ind w:firstLine="0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新申请</w:t>
            </w:r>
            <w:r>
              <w:rPr>
                <w:rFonts w:ascii="方正黑体_GBK" w:eastAsia="方正黑体_GBK" w:hAnsi="Wingdings 2" w:cs="方正黑体_GBK" w:hint="eastAsia"/>
                <w:sz w:val="24"/>
                <w:szCs w:val="24"/>
              </w:rPr>
              <w:sym w:font="Wingdings 2" w:char="F0A3"/>
            </w:r>
            <w:r>
              <w:rPr>
                <w:rFonts w:ascii="方正黑体_GBK" w:eastAsia="方正黑体_GBK" w:hAnsi="方正黑体_GBK" w:cs="方正黑体_GBK"/>
                <w:sz w:val="24"/>
              </w:rPr>
              <w:t xml:space="preserve">  </w:t>
            </w:r>
          </w:p>
          <w:p w14:paraId="5DE1DB63" w14:textId="77777777" w:rsidR="00344D3D" w:rsidRDefault="00344D3D" w:rsidP="0024671D">
            <w:pPr>
              <w:spacing w:line="440" w:lineRule="exact"/>
              <w:ind w:firstLine="0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已发布</w:t>
            </w:r>
            <w:r>
              <w:rPr>
                <w:rFonts w:ascii="方正黑体_GBK" w:eastAsia="方正黑体_GBK" w:hAnsi="Wingdings 2" w:cs="方正黑体_GBK" w:hint="eastAsia"/>
                <w:sz w:val="24"/>
                <w:szCs w:val="24"/>
              </w:rPr>
              <w:sym w:font="Wingdings 2" w:char="F0A3"/>
            </w:r>
            <w:r>
              <w:rPr>
                <w:rFonts w:ascii="方正黑体_GBK" w:eastAsia="方正黑体_GBK" w:hAnsi="方正黑体_GBK" w:cs="方正黑体_GBK" w:hint="eastAsia"/>
                <w:sz w:val="24"/>
              </w:rPr>
              <w:t>（对应标准编号：</w:t>
            </w:r>
            <w:r>
              <w:rPr>
                <w:rFonts w:ascii="方正黑体_GBK" w:eastAsia="方正黑体_GBK" w:hAnsi="方正黑体_GBK" w:cs="方正黑体_GBK"/>
                <w:sz w:val="24"/>
              </w:rPr>
              <w:t xml:space="preserve">                </w:t>
            </w:r>
            <w:r>
              <w:rPr>
                <w:rFonts w:ascii="方正黑体_GBK" w:eastAsia="方正黑体_GBK" w:hAnsi="方正黑体_GBK" w:cs="方正黑体_GBK" w:hint="eastAsia"/>
                <w:sz w:val="24"/>
              </w:rPr>
              <w:t>）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A4C37" w14:textId="77777777" w:rsidR="00344D3D" w:rsidRDefault="00344D3D" w:rsidP="0024671D">
            <w:pPr>
              <w:spacing w:line="440" w:lineRule="exact"/>
              <w:ind w:firstLine="0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拟翻译</w:t>
            </w:r>
          </w:p>
          <w:p w14:paraId="6C3ABF5B" w14:textId="77777777" w:rsidR="00344D3D" w:rsidRDefault="00344D3D" w:rsidP="0024671D">
            <w:pPr>
              <w:spacing w:line="440" w:lineRule="exact"/>
              <w:ind w:firstLine="0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语种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BFD0C" w14:textId="77777777" w:rsidR="00344D3D" w:rsidRDefault="00344D3D" w:rsidP="0024671D">
            <w:pPr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</w:p>
        </w:tc>
      </w:tr>
      <w:tr w:rsidR="00344D3D" w14:paraId="4402E603" w14:textId="77777777" w:rsidTr="0024671D">
        <w:trPr>
          <w:trHeight w:val="49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D0DED" w14:textId="77777777" w:rsidR="00344D3D" w:rsidRDefault="00344D3D" w:rsidP="0024671D">
            <w:pPr>
              <w:spacing w:line="400" w:lineRule="exact"/>
              <w:ind w:firstLine="0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对口省行政主管部门</w:t>
            </w:r>
          </w:p>
        </w:tc>
        <w:tc>
          <w:tcPr>
            <w:tcW w:w="6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29F8" w14:textId="77777777" w:rsidR="00344D3D" w:rsidRDefault="00344D3D" w:rsidP="0024671D">
            <w:pPr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</w:p>
        </w:tc>
      </w:tr>
      <w:tr w:rsidR="00344D3D" w14:paraId="2093485D" w14:textId="77777777" w:rsidTr="0024671D">
        <w:trPr>
          <w:trHeight w:val="49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CF8A" w14:textId="77777777" w:rsidR="00344D3D" w:rsidRDefault="00344D3D" w:rsidP="0024671D">
            <w:pPr>
              <w:ind w:firstLine="0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归口省标准化技术委员会</w:t>
            </w:r>
          </w:p>
        </w:tc>
        <w:tc>
          <w:tcPr>
            <w:tcW w:w="6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CC1CB" w14:textId="77777777" w:rsidR="00344D3D" w:rsidRDefault="00344D3D" w:rsidP="0024671D">
            <w:pPr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</w:p>
        </w:tc>
      </w:tr>
      <w:tr w:rsidR="00344D3D" w14:paraId="655FB18F" w14:textId="77777777" w:rsidTr="0024671D">
        <w:trPr>
          <w:trHeight w:val="49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BD36D" w14:textId="77777777" w:rsidR="00344D3D" w:rsidRDefault="00344D3D" w:rsidP="0024671D">
            <w:pPr>
              <w:spacing w:line="500" w:lineRule="exact"/>
              <w:ind w:firstLine="0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翻译单位</w:t>
            </w:r>
          </w:p>
        </w:tc>
        <w:tc>
          <w:tcPr>
            <w:tcW w:w="6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ECEA" w14:textId="77777777" w:rsidR="00344D3D" w:rsidRDefault="00344D3D" w:rsidP="0024671D">
            <w:pPr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</w:p>
        </w:tc>
      </w:tr>
      <w:tr w:rsidR="00344D3D" w14:paraId="706DA69D" w14:textId="77777777" w:rsidTr="0024671D">
        <w:trPr>
          <w:trHeight w:val="49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B22A" w14:textId="77777777" w:rsidR="00344D3D" w:rsidRDefault="00344D3D" w:rsidP="0024671D">
            <w:pPr>
              <w:ind w:firstLine="0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完成周期（月）</w:t>
            </w:r>
          </w:p>
        </w:tc>
        <w:tc>
          <w:tcPr>
            <w:tcW w:w="6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EA85B" w14:textId="77777777" w:rsidR="00344D3D" w:rsidRPr="00B62F7B" w:rsidRDefault="00344D3D" w:rsidP="0024671D">
            <w:pPr>
              <w:spacing w:line="390" w:lineRule="atLeast"/>
              <w:ind w:firstLine="0"/>
              <w:rPr>
                <w:rFonts w:ascii="方正楷体_GBK" w:eastAsia="方正楷体_GBK" w:hAnsi="方正黑体_GBK" w:cs="方正黑体_GBK" w:hint="eastAsia"/>
                <w:sz w:val="24"/>
              </w:rPr>
            </w:pPr>
          </w:p>
        </w:tc>
      </w:tr>
      <w:tr w:rsidR="00344D3D" w14:paraId="5E744193" w14:textId="77777777" w:rsidTr="0024671D">
        <w:trPr>
          <w:trHeight w:val="271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DC308" w14:textId="77777777" w:rsidR="00344D3D" w:rsidRDefault="00344D3D" w:rsidP="0024671D">
            <w:pPr>
              <w:spacing w:line="400" w:lineRule="exact"/>
              <w:ind w:firstLine="0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国内外需求情况</w:t>
            </w:r>
          </w:p>
          <w:p w14:paraId="744FD641" w14:textId="77777777" w:rsidR="00344D3D" w:rsidRDefault="00344D3D" w:rsidP="0024671D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7F57" w14:textId="77777777" w:rsidR="00344D3D" w:rsidRDefault="00344D3D" w:rsidP="0024671D">
            <w:pPr>
              <w:ind w:firstLine="0"/>
              <w:rPr>
                <w:rFonts w:ascii="方正黑体_GBK" w:eastAsia="方正黑体_GBK" w:hAnsi="方正黑体_GBK" w:cs="方正黑体_GBK" w:hint="eastAsia"/>
                <w:sz w:val="24"/>
              </w:rPr>
            </w:pPr>
          </w:p>
          <w:p w14:paraId="40B0ECAB" w14:textId="77777777" w:rsidR="00344D3D" w:rsidRDefault="00344D3D" w:rsidP="0024671D">
            <w:pPr>
              <w:rPr>
                <w:rFonts w:ascii="方正黑体_GBK" w:eastAsia="方正黑体_GBK" w:hAnsi="方正黑体_GBK" w:cs="方正黑体_GBK"/>
                <w:sz w:val="24"/>
              </w:rPr>
            </w:pPr>
          </w:p>
        </w:tc>
      </w:tr>
      <w:tr w:rsidR="00344D3D" w14:paraId="1FB11466" w14:textId="77777777" w:rsidTr="0024671D">
        <w:trPr>
          <w:trHeight w:val="49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7BFF" w14:textId="77777777" w:rsidR="00344D3D" w:rsidRDefault="00344D3D" w:rsidP="0024671D">
            <w:pPr>
              <w:spacing w:line="560" w:lineRule="exact"/>
              <w:ind w:firstLine="0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联系人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A614" w14:textId="77777777" w:rsidR="00344D3D" w:rsidRDefault="00344D3D" w:rsidP="0024671D">
            <w:pPr>
              <w:spacing w:line="560" w:lineRule="exact"/>
              <w:ind w:firstLine="0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108D5" w14:textId="77777777" w:rsidR="00344D3D" w:rsidRDefault="00344D3D" w:rsidP="0024671D">
            <w:pPr>
              <w:spacing w:line="560" w:lineRule="exact"/>
              <w:ind w:firstLine="0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联系电话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CBCBA" w14:textId="77777777" w:rsidR="00344D3D" w:rsidRDefault="00344D3D" w:rsidP="0024671D">
            <w:pPr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</w:p>
        </w:tc>
      </w:tr>
      <w:tr w:rsidR="00344D3D" w14:paraId="3C44FE64" w14:textId="77777777" w:rsidTr="0024671D">
        <w:trPr>
          <w:trHeight w:val="3360"/>
        </w:trPr>
        <w:tc>
          <w:tcPr>
            <w:tcW w:w="8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844F3" w14:textId="77777777" w:rsidR="00344D3D" w:rsidRPr="00FE3A20" w:rsidRDefault="00344D3D" w:rsidP="0024671D">
            <w:pPr>
              <w:spacing w:line="560" w:lineRule="exact"/>
              <w:ind w:firstLine="0"/>
              <w:rPr>
                <w:rFonts w:ascii="方正黑体_GBK" w:eastAsia="方正黑体_GBK" w:hAnsi="方正黑体_GBK" w:cs="方正黑体_GBK"/>
                <w:bCs/>
                <w:sz w:val="24"/>
              </w:rPr>
            </w:pPr>
            <w:r w:rsidRPr="00FE3A20"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申报单位（第一起草单位）意见</w:t>
            </w:r>
          </w:p>
          <w:p w14:paraId="262A0B73" w14:textId="77777777" w:rsidR="00344D3D" w:rsidRDefault="00344D3D" w:rsidP="0024671D">
            <w:pPr>
              <w:spacing w:line="560" w:lineRule="exact"/>
              <w:ind w:firstLineChars="200" w:firstLine="482"/>
              <w:jc w:val="left"/>
              <w:rPr>
                <w:rFonts w:ascii="方正黑体_GBK" w:eastAsia="方正黑体_GBK" w:hAnsi="方正黑体_GBK" w:cs="方正黑体_GBK"/>
                <w:b/>
                <w:sz w:val="24"/>
              </w:rPr>
            </w:pPr>
            <w:bookmarkStart w:id="0" w:name="_GoBack"/>
            <w:bookmarkEnd w:id="0"/>
          </w:p>
          <w:p w14:paraId="36060735" w14:textId="77777777" w:rsidR="00344D3D" w:rsidRDefault="00344D3D" w:rsidP="0024671D">
            <w:pPr>
              <w:spacing w:line="560" w:lineRule="exact"/>
              <w:ind w:firstLineChars="200" w:firstLine="480"/>
              <w:jc w:val="left"/>
              <w:rPr>
                <w:rFonts w:ascii="方正黑体_GBK" w:eastAsia="方正黑体_GBK" w:hAnsi="方正黑体_GBK" w:cs="方正黑体_GBK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同意申报。</w:t>
            </w:r>
          </w:p>
          <w:p w14:paraId="204F3A39" w14:textId="77777777" w:rsidR="00344D3D" w:rsidRDefault="00344D3D" w:rsidP="0024671D">
            <w:pPr>
              <w:spacing w:line="560" w:lineRule="exact"/>
              <w:ind w:firstLineChars="2700" w:firstLine="6480"/>
              <w:rPr>
                <w:rFonts w:ascii="方正黑体_GBK" w:eastAsia="方正黑体_GBK" w:hAnsi="方正黑体_GBK" w:cs="方正黑体_GBK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（单位盖章）</w:t>
            </w:r>
          </w:p>
          <w:p w14:paraId="1A795881" w14:textId="77777777" w:rsidR="00344D3D" w:rsidRPr="00100DD4" w:rsidRDefault="00344D3D" w:rsidP="00344D3D">
            <w:pPr>
              <w:spacing w:line="560" w:lineRule="exact"/>
              <w:ind w:right="280" w:firstLine="0"/>
              <w:jc w:val="right"/>
              <w:rPr>
                <w:rFonts w:ascii="方正黑体_GBK" w:eastAsia="方正黑体_GBK" w:hAnsi="方正黑体_GBK" w:cs="方正黑体_GBK" w:hint="eastAsia"/>
                <w:bCs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年</w:t>
            </w:r>
            <w:r>
              <w:rPr>
                <w:rFonts w:ascii="方正黑体_GBK" w:eastAsia="方正黑体_GBK" w:hAnsi="方正黑体_GBK" w:cs="方正黑体_GBK"/>
                <w:bCs/>
                <w:sz w:val="24"/>
              </w:rPr>
              <w:t xml:space="preserve">    </w:t>
            </w: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月</w:t>
            </w:r>
            <w:r>
              <w:rPr>
                <w:rFonts w:ascii="方正黑体_GBK" w:eastAsia="方正黑体_GBK" w:hAnsi="方正黑体_GBK" w:cs="方正黑体_GBK"/>
                <w:bCs/>
                <w:sz w:val="24"/>
              </w:rPr>
              <w:t xml:space="preserve">    </w:t>
            </w: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日</w:t>
            </w:r>
          </w:p>
        </w:tc>
      </w:tr>
    </w:tbl>
    <w:p w14:paraId="339A7BCD" w14:textId="77777777" w:rsidR="008B46BA" w:rsidRDefault="008B46BA"/>
    <w:sectPr w:rsidR="008B4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CEB63" w14:textId="77777777" w:rsidR="00D41A4E" w:rsidRDefault="00D41A4E" w:rsidP="00344D3D">
      <w:pPr>
        <w:spacing w:line="240" w:lineRule="auto"/>
      </w:pPr>
      <w:r>
        <w:separator/>
      </w:r>
    </w:p>
  </w:endnote>
  <w:endnote w:type="continuationSeparator" w:id="0">
    <w:p w14:paraId="1FDADE31" w14:textId="77777777" w:rsidR="00D41A4E" w:rsidRDefault="00D41A4E" w:rsidP="00344D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楷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FFC02" w14:textId="77777777" w:rsidR="00D41A4E" w:rsidRDefault="00D41A4E" w:rsidP="00344D3D">
      <w:pPr>
        <w:spacing w:line="240" w:lineRule="auto"/>
      </w:pPr>
      <w:r>
        <w:separator/>
      </w:r>
    </w:p>
  </w:footnote>
  <w:footnote w:type="continuationSeparator" w:id="0">
    <w:p w14:paraId="13516F5E" w14:textId="77777777" w:rsidR="00D41A4E" w:rsidRDefault="00D41A4E" w:rsidP="00344D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BA"/>
    <w:rsid w:val="00344D3D"/>
    <w:rsid w:val="008B46BA"/>
    <w:rsid w:val="00D4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F1006"/>
  <w15:chartTrackingRefBased/>
  <w15:docId w15:val="{AFF3CD92-6EE1-47DF-A21C-9F346DD8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4D3D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D3D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4D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4D3D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4D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梁彪</dc:creator>
  <cp:keywords/>
  <dc:description/>
  <cp:lastModifiedBy>梁彪</cp:lastModifiedBy>
  <cp:revision>2</cp:revision>
  <dcterms:created xsi:type="dcterms:W3CDTF">2026-02-10T06:40:00Z</dcterms:created>
  <dcterms:modified xsi:type="dcterms:W3CDTF">2026-02-10T06:40:00Z</dcterms:modified>
</cp:coreProperties>
</file>